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9E1DCF"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75"/>
              <w:gridCol w:w="7650"/>
              <w:gridCol w:w="675"/>
            </w:tblGrid>
            <w:tr w:rsidR="00F706BF" w:rsidRPr="009E1DCF">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50"/>
                  </w:tblGrid>
                  <w:tr w:rsidR="00211C50"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211C50" w:rsidRPr="009E1DCF">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 </w:t>
                        </w:r>
                        <w:r w:rsidR="003651DD">
                          <w:rPr>
                            <w:rFonts w:eastAsia="Times New Roman"/>
                            <w:lang w:val="en-US"/>
                          </w:rPr>
                          <w:t>November</w:t>
                        </w:r>
                        <w:r w:rsidR="007B4879" w:rsidRPr="00B053FC">
                          <w:rPr>
                            <w:rFonts w:eastAsia="Times New Roman"/>
                            <w:lang w:val="en-US"/>
                          </w:rPr>
                          <w:t xml:space="preserve"> 2018</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FF4DF6">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B4AE9" w:rsidRPr="00B053FC" w:rsidRDefault="003B4AE9" w:rsidP="0096227F">
                        <w:pPr>
                          <w:pStyle w:val="Heading2"/>
                          <w:spacing w:line="360" w:lineRule="auto"/>
                          <w:rPr>
                            <w:rFonts w:eastAsia="Times New Roman"/>
                            <w:lang w:val="en-US"/>
                          </w:rPr>
                        </w:pPr>
                        <w:r w:rsidRPr="00B053FC">
                          <w:rPr>
                            <w:rFonts w:eastAsia="Times New Roman"/>
                            <w:lang w:val="en-US"/>
                          </w:rPr>
                          <w:t>Publications</w:t>
                        </w:r>
                        <w:r w:rsidR="00351AD0">
                          <w:rPr>
                            <w:rFonts w:eastAsia="Times New Roman"/>
                            <w:lang w:val="en-US"/>
                          </w:rPr>
                          <w:t xml:space="preserve">/interviews of our colleagues </w:t>
                        </w:r>
                      </w:p>
                      <w:p w:rsidR="0053236B" w:rsidRPr="0053236B" w:rsidRDefault="0053236B" w:rsidP="0053236B">
                        <w:pPr>
                          <w:spacing w:before="100" w:beforeAutospacing="1" w:after="100" w:afterAutospacing="1" w:line="360" w:lineRule="auto"/>
                          <w:rPr>
                            <w:rStyle w:val="Hyperlink"/>
                            <w:rFonts w:ascii="Arial" w:hAnsi="Arial" w:cs="Arial"/>
                            <w:color w:val="auto"/>
                            <w:sz w:val="18"/>
                            <w:szCs w:val="18"/>
                            <w:u w:val="none"/>
                            <w:lang w:val="en-US"/>
                          </w:rPr>
                        </w:pPr>
                        <w:r w:rsidRPr="0053236B">
                          <w:rPr>
                            <w:rStyle w:val="Hyperlink"/>
                            <w:rFonts w:ascii="Arial" w:hAnsi="Arial" w:cs="Arial"/>
                            <w:b/>
                            <w:color w:val="auto"/>
                            <w:sz w:val="18"/>
                            <w:szCs w:val="18"/>
                            <w:u w:val="none"/>
                            <w:lang w:val="en-US"/>
                          </w:rPr>
                          <w:lastRenderedPageBreak/>
                          <w:t>Please send Manuela the link or information about your publications or interviews so she can mention it in this news letter</w:t>
                        </w:r>
                      </w:p>
                      <w:p w:rsidR="006E1BB8" w:rsidRPr="00B053FC" w:rsidRDefault="006E1BB8" w:rsidP="0096227F">
                        <w:pPr>
                          <w:spacing w:before="100" w:beforeAutospacing="1" w:after="100" w:afterAutospacing="1" w:line="360" w:lineRule="auto"/>
                          <w:rPr>
                            <w:rFonts w:ascii="Arial" w:hAnsi="Arial" w:cs="Arial"/>
                            <w:sz w:val="18"/>
                            <w:szCs w:val="18"/>
                            <w:lang w:val="en-US"/>
                          </w:rPr>
                        </w:pPr>
                        <w:r w:rsidRPr="00B053FC">
                          <w:rPr>
                            <w:noProof/>
                          </w:rPr>
                          <w:drawing>
                            <wp:inline distT="0" distB="0" distL="0" distR="0" wp14:anchorId="466346F8" wp14:editId="69A66F02">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651DD" w:rsidRPr="003651DD" w:rsidRDefault="003651DD" w:rsidP="003651DD">
                        <w:pPr>
                          <w:pStyle w:val="Heading2"/>
                          <w:rPr>
                            <w:rFonts w:eastAsia="Times New Roman"/>
                            <w:lang w:val="en-US"/>
                          </w:rPr>
                        </w:pPr>
                        <w:r w:rsidRPr="003651DD">
                          <w:rPr>
                            <w:rFonts w:eastAsia="Times New Roman"/>
                            <w:lang w:val="en-US"/>
                          </w:rPr>
                          <w:t>Inaugural lecture of Frank van Oort, as endowed professor of Urban and Regional Economics</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3651DD" w:rsidRPr="00FF4DF6" w:rsidTr="003651DD">
                          <w:trPr>
                            <w:tblCellSpacing w:w="0" w:type="dxa"/>
                          </w:trPr>
                          <w:tc>
                            <w:tcPr>
                              <w:tcW w:w="2715" w:type="dxa"/>
                              <w:hideMark/>
                            </w:tcPr>
                            <w:p w:rsidR="003651DD" w:rsidRDefault="003651DD" w:rsidP="003651DD">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666875" cy="1666875"/>
                                    <wp:effectExtent l="0" t="0" r="9525" b="9525"/>
                                    <wp:docPr id="12" name="Picture 12" descr="https://gallery.mailchimp.com/e3805dd0c5dd8424791f80317/images/571bbdfe-312b-44c7-9519-f4836e3e6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571bbdfe-312b-44c7-9519-f4836e3e6d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3651DD" w:rsidRPr="00FF4DF6" w:rsidRDefault="003651DD" w:rsidP="003651DD">
                              <w:pPr>
                                <w:spacing w:line="330" w:lineRule="atLeast"/>
                                <w:rPr>
                                  <w:rFonts w:ascii="Arial" w:hAnsi="Arial" w:cs="Arial"/>
                                  <w:color w:val="000000"/>
                                  <w:sz w:val="18"/>
                                  <w:szCs w:val="18"/>
                                  <w:lang w:val="en-US"/>
                                </w:rPr>
                              </w:pPr>
                              <w:r w:rsidRPr="003651DD">
                                <w:rPr>
                                  <w:rFonts w:ascii="Arial" w:hAnsi="Arial" w:cs="Arial"/>
                                  <w:color w:val="000000"/>
                                  <w:sz w:val="18"/>
                                  <w:szCs w:val="18"/>
                                  <w:lang w:val="en-US"/>
                                </w:rPr>
                                <w:t xml:space="preserve">On Friday, 23 November 2018, Professor Frank van Oort will give his inaugural lecture as endowed professor of Urban and Regional Economics. His lecture is titled: “Policy in Urban and Regional Economics”. The lecture starts at 16:00, in the Aula and will be held in English. </w:t>
                              </w:r>
                              <w:r w:rsidRPr="00FF4DF6">
                                <w:rPr>
                                  <w:rFonts w:ascii="Arial" w:hAnsi="Arial" w:cs="Arial"/>
                                  <w:color w:val="000000"/>
                                  <w:sz w:val="18"/>
                                  <w:szCs w:val="18"/>
                                  <w:lang w:val="en-US"/>
                                </w:rPr>
                                <w:t>Attendance of colleagues is highly appreciated.</w:t>
                              </w:r>
                              <w:r w:rsidRPr="00FF4DF6">
                                <w:rPr>
                                  <w:rFonts w:ascii="Arial" w:hAnsi="Arial" w:cs="Arial"/>
                                  <w:color w:val="000000"/>
                                  <w:sz w:val="18"/>
                                  <w:szCs w:val="18"/>
                                  <w:lang w:val="en-US"/>
                                </w:rPr>
                                <w:br/>
                              </w:r>
                              <w:hyperlink r:id="rId10" w:history="1">
                                <w:r w:rsidRPr="00FF4DF6">
                                  <w:rPr>
                                    <w:rStyle w:val="Hyperlink"/>
                                    <w:sz w:val="18"/>
                                    <w:szCs w:val="18"/>
                                    <w:lang w:val="en-US"/>
                                  </w:rPr>
                                  <w:t>Read more</w:t>
                                </w:r>
                              </w:hyperlink>
                              <w:r w:rsidRPr="00FF4DF6">
                                <w:rPr>
                                  <w:rFonts w:ascii="Arial" w:hAnsi="Arial" w:cs="Arial"/>
                                  <w:color w:val="000000"/>
                                  <w:sz w:val="18"/>
                                  <w:szCs w:val="18"/>
                                  <w:lang w:val="en-US"/>
                                </w:rPr>
                                <w:t xml:space="preserve"> </w:t>
                              </w:r>
                            </w:p>
                          </w:tc>
                        </w:tr>
                      </w:tbl>
                      <w:p w:rsidR="00D824A4" w:rsidRPr="00FF4DF6" w:rsidRDefault="003651DD" w:rsidP="00DF65A9">
                        <w:pPr>
                          <w:pStyle w:val="Heading2"/>
                          <w:spacing w:line="360" w:lineRule="auto"/>
                          <w:rPr>
                            <w:b w:val="0"/>
                            <w:bCs w:val="0"/>
                            <w:sz w:val="18"/>
                            <w:szCs w:val="18"/>
                            <w:lang w:val="en-US"/>
                          </w:rPr>
                        </w:pPr>
                        <w:r w:rsidRPr="00FF4DF6">
                          <w:rPr>
                            <w:noProof/>
                          </w:rPr>
                          <w:t xml:space="preserve"> </w:t>
                        </w:r>
                        <w:r w:rsidR="00D824A4" w:rsidRPr="00B053FC">
                          <w:rPr>
                            <w:noProof/>
                          </w:rPr>
                          <w:drawing>
                            <wp:inline distT="0" distB="0" distL="0" distR="0" wp14:anchorId="52A5E405" wp14:editId="41297EAA">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FF4DF6" w:rsidRPr="00FF4DF6">
                          <w:rPr>
                            <w:rFonts w:eastAsia="Times New Roman"/>
                          </w:rPr>
                          <w:t xml:space="preserve"> </w:t>
                        </w:r>
                      </w:p>
                      <w:p w:rsidR="003651DD" w:rsidRDefault="003651DD" w:rsidP="003651DD">
                        <w:pPr>
                          <w:pStyle w:val="Heading2"/>
                          <w:rPr>
                            <w:rFonts w:eastAsia="Times New Roman"/>
                          </w:rPr>
                        </w:pPr>
                        <w:r>
                          <w:rPr>
                            <w:rFonts w:eastAsia="Times New Roman"/>
                          </w:rPr>
                          <w:t>PhD recruitment</w:t>
                        </w:r>
                      </w:p>
                      <w:tbl>
                        <w:tblPr>
                          <w:tblW w:w="5000" w:type="pct"/>
                          <w:tblCellSpacing w:w="0" w:type="dxa"/>
                          <w:tblCellMar>
                            <w:left w:w="0" w:type="dxa"/>
                            <w:right w:w="0" w:type="dxa"/>
                          </w:tblCellMar>
                          <w:tblLook w:val="04A0" w:firstRow="1" w:lastRow="0" w:firstColumn="1" w:lastColumn="0" w:noHBand="0" w:noVBand="1"/>
                        </w:tblPr>
                        <w:tblGrid>
                          <w:gridCol w:w="2879"/>
                          <w:gridCol w:w="4771"/>
                        </w:tblGrid>
                        <w:tr w:rsidR="003651DD" w:rsidTr="003651DD">
                          <w:trPr>
                            <w:tblCellSpacing w:w="0" w:type="dxa"/>
                          </w:trPr>
                          <w:tc>
                            <w:tcPr>
                              <w:tcW w:w="2715" w:type="dxa"/>
                              <w:hideMark/>
                            </w:tcPr>
                            <w:p w:rsidR="003651DD" w:rsidRDefault="003651DD" w:rsidP="003651DD">
                              <w:pPr>
                                <w:spacing w:line="330" w:lineRule="atLeast"/>
                                <w:rPr>
                                  <w:rFonts w:ascii="Arial" w:hAnsi="Arial" w:cs="Arial"/>
                                  <w:color w:val="000000"/>
                                  <w:sz w:val="18"/>
                                  <w:szCs w:val="18"/>
                                </w:rPr>
                              </w:pPr>
                              <w:r>
                                <w:rPr>
                                  <w:rFonts w:ascii="Arial" w:hAnsi="Arial" w:cs="Arial"/>
                                  <w:noProof/>
                                  <w:color w:val="000000"/>
                                  <w:sz w:val="18"/>
                                  <w:szCs w:val="18"/>
                                </w:rPr>
                                <w:drawing>
                                  <wp:inline distT="0" distB="0" distL="0" distR="0">
                                    <wp:extent cx="1666875" cy="1666875"/>
                                    <wp:effectExtent l="0" t="0" r="9525" b="9525"/>
                                    <wp:docPr id="13" name="Picture 13" descr="https://gallery.mailchimp.com/e3805dd0c5dd8424791f80317/images/131c0876-5889-459a-bdfe-21fcfe3fb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e3805dd0c5dd8424791f80317/images/131c0876-5889-459a-bdfe-21fcfe3fb4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3651DD" w:rsidRDefault="003651DD" w:rsidP="003651DD">
                              <w:pPr>
                                <w:pStyle w:val="NormalWeb"/>
                                <w:spacing w:line="330" w:lineRule="atLeast"/>
                                <w:rPr>
                                  <w:rFonts w:ascii="Arial" w:hAnsi="Arial" w:cs="Arial"/>
                                  <w:color w:val="000000"/>
                                  <w:sz w:val="18"/>
                                  <w:szCs w:val="18"/>
                                </w:rPr>
                              </w:pPr>
                              <w:r w:rsidRPr="003651DD">
                                <w:rPr>
                                  <w:rFonts w:ascii="Arial" w:hAnsi="Arial" w:cs="Arial"/>
                                  <w:color w:val="000000"/>
                                  <w:sz w:val="18"/>
                                  <w:szCs w:val="18"/>
                                  <w:lang w:val="en-US"/>
                                </w:rPr>
                                <w:t xml:space="preserve">Erasmus School of Economics is looking for highly talented PhD students and has several open PhD positions. Are you interested or do you happen to know potential candidates? Please have a look at the </w:t>
                              </w:r>
                              <w:proofErr w:type="spellStart"/>
                              <w:r w:rsidRPr="003651DD">
                                <w:rPr>
                                  <w:rFonts w:ascii="Arial" w:hAnsi="Arial" w:cs="Arial"/>
                                  <w:color w:val="000000"/>
                                  <w:sz w:val="18"/>
                                  <w:szCs w:val="18"/>
                                  <w:lang w:val="en-US"/>
                                </w:rPr>
                                <w:t>Phd</w:t>
                              </w:r>
                              <w:proofErr w:type="spellEnd"/>
                              <w:r w:rsidRPr="003651DD">
                                <w:rPr>
                                  <w:rFonts w:ascii="Arial" w:hAnsi="Arial" w:cs="Arial"/>
                                  <w:color w:val="000000"/>
                                  <w:sz w:val="18"/>
                                  <w:szCs w:val="18"/>
                                  <w:lang w:val="en-US"/>
                                </w:rPr>
                                <w:t xml:space="preserve"> vacancy page. The deadline of application is 15 January 2019. </w:t>
                              </w:r>
                              <w:r w:rsidRPr="003651DD">
                                <w:rPr>
                                  <w:rFonts w:ascii="Arial" w:hAnsi="Arial" w:cs="Arial"/>
                                  <w:color w:val="000000"/>
                                  <w:sz w:val="18"/>
                                  <w:szCs w:val="18"/>
                                  <w:lang w:val="en-US"/>
                                </w:rPr>
                                <w:br/>
                              </w:r>
                              <w:hyperlink r:id="rId12" w:history="1">
                                <w:r>
                                  <w:rPr>
                                    <w:rStyle w:val="Hyperlink"/>
                                    <w:sz w:val="18"/>
                                    <w:szCs w:val="18"/>
                                  </w:rPr>
                                  <w:t>Read more</w:t>
                                </w:r>
                              </w:hyperlink>
                              <w:r>
                                <w:rPr>
                                  <w:rFonts w:ascii="Arial" w:hAnsi="Arial" w:cs="Arial"/>
                                  <w:color w:val="000000"/>
                                  <w:sz w:val="18"/>
                                  <w:szCs w:val="18"/>
                                </w:rPr>
                                <w:t xml:space="preserve"> </w:t>
                              </w:r>
                            </w:p>
                          </w:tc>
                        </w:tr>
                      </w:tbl>
                      <w:p w:rsidR="005F7606" w:rsidRPr="00D824A4" w:rsidRDefault="003651DD" w:rsidP="005E5E48">
                        <w:pPr>
                          <w:pStyle w:val="Heading2"/>
                          <w:rPr>
                            <w:rFonts w:eastAsia="Times New Roman"/>
                            <w:lang w:val="en-US"/>
                          </w:rPr>
                        </w:pPr>
                        <w:r w:rsidRPr="00B053FC">
                          <w:rPr>
                            <w:noProof/>
                          </w:rPr>
                          <w:t xml:space="preserve"> </w:t>
                        </w:r>
                        <w:r w:rsidR="005F7606" w:rsidRPr="00B053FC">
                          <w:rPr>
                            <w:noProof/>
                          </w:rPr>
                          <w:drawing>
                            <wp:inline distT="0" distB="0" distL="0" distR="0" wp14:anchorId="325A1340" wp14:editId="44A13F10">
                              <wp:extent cx="4857750" cy="409575"/>
                              <wp:effectExtent l="0" t="0" r="0" b="9525"/>
                              <wp:docPr id="34" name="Picture 3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E53CF3" w:rsidRDefault="00E53CF3" w:rsidP="00E53CF3">
                        <w:pPr>
                          <w:pStyle w:val="Heading2"/>
                          <w:rPr>
                            <w:rFonts w:eastAsia="Times New Roman"/>
                            <w:lang w:val="en-US"/>
                          </w:rPr>
                        </w:pPr>
                        <w:r>
                          <w:rPr>
                            <w:rFonts w:eastAsia="Times New Roman"/>
                            <w:lang w:val="en-US"/>
                          </w:rPr>
                          <w:t>ESE Prep Money Research</w:t>
                        </w:r>
                      </w:p>
                      <w:p w:rsidR="00E53CF3" w:rsidRPr="00E53CF3" w:rsidRDefault="00E53CF3" w:rsidP="00E53CF3">
                        <w:pPr>
                          <w:shd w:val="clear" w:color="auto" w:fill="FFFFFF"/>
                          <w:spacing w:before="100" w:beforeAutospacing="1" w:line="360" w:lineRule="auto"/>
                          <w:rPr>
                            <w:rFonts w:ascii="Arial" w:hAnsi="Arial" w:cs="Arial"/>
                            <w:color w:val="000000"/>
                            <w:sz w:val="18"/>
                            <w:szCs w:val="18"/>
                            <w:lang w:val="en-US"/>
                          </w:rPr>
                        </w:pPr>
                        <w:r w:rsidRPr="00E53CF3">
                          <w:rPr>
                            <w:rFonts w:ascii="Arial" w:hAnsi="Arial" w:cs="Arial"/>
                            <w:color w:val="000000"/>
                            <w:sz w:val="18"/>
                            <w:szCs w:val="18"/>
                            <w:lang w:val="en-US"/>
                          </w:rPr>
                          <w:t>Erasmus School of Economics (ESE) encourages its faculty to apply for prestigious external research funding at NWO, the European Commission (ERC and Marie Curie ITN) or other established research funding organizations.</w:t>
                        </w:r>
                      </w:p>
                      <w:p w:rsidR="00E53CF3" w:rsidRDefault="00E53CF3" w:rsidP="00E53CF3">
                        <w:pPr>
                          <w:shd w:val="clear" w:color="auto" w:fill="FFFFFF"/>
                          <w:spacing w:before="100" w:beforeAutospacing="1" w:line="360" w:lineRule="auto"/>
                          <w:rPr>
                            <w:rFonts w:ascii="Arial" w:hAnsi="Arial" w:cs="Arial"/>
                            <w:color w:val="000000"/>
                            <w:sz w:val="18"/>
                            <w:szCs w:val="18"/>
                            <w:lang w:val="en-US"/>
                          </w:rPr>
                        </w:pPr>
                        <w:r w:rsidRPr="00E53CF3">
                          <w:rPr>
                            <w:rFonts w:ascii="Arial" w:hAnsi="Arial" w:cs="Arial"/>
                            <w:color w:val="000000"/>
                            <w:sz w:val="18"/>
                            <w:szCs w:val="18"/>
                            <w:lang w:val="en-US"/>
                          </w:rPr>
                          <w:t>ESE has created a specific instrument to help researchers to get the time and opportunities required for the solid preparation of a strong research proposal: Prep Money Research. This allowance can only be used (and applied for) before the submission of the grant application and your head of department needs to approve how you intend to spend the money</w:t>
                        </w:r>
                        <w:r>
                          <w:rPr>
                            <w:rFonts w:ascii="Arial" w:hAnsi="Arial" w:cs="Arial"/>
                            <w:color w:val="000000"/>
                            <w:sz w:val="18"/>
                            <w:szCs w:val="18"/>
                            <w:lang w:val="en-US"/>
                          </w:rPr>
                          <w:t>.</w:t>
                        </w:r>
                      </w:p>
                      <w:p w:rsidR="00E53CF3" w:rsidRPr="00E53CF3" w:rsidRDefault="00E53CF3" w:rsidP="00E53CF3">
                        <w:pPr>
                          <w:shd w:val="clear" w:color="auto" w:fill="FFFFFF"/>
                          <w:spacing w:before="100" w:beforeAutospacing="1" w:line="360" w:lineRule="auto"/>
                          <w:rPr>
                            <w:rFonts w:ascii="Arial" w:hAnsi="Arial" w:cs="Arial"/>
                            <w:color w:val="000000"/>
                            <w:sz w:val="18"/>
                            <w:szCs w:val="18"/>
                            <w:lang w:val="en-US"/>
                          </w:rPr>
                        </w:pPr>
                        <w:r>
                          <w:rPr>
                            <w:rFonts w:ascii="Arial" w:hAnsi="Arial" w:cs="Arial"/>
                            <w:color w:val="000000"/>
                            <w:sz w:val="18"/>
                            <w:szCs w:val="18"/>
                            <w:lang w:val="en-US"/>
                          </w:rPr>
                          <w:t xml:space="preserve">For more information click </w:t>
                        </w:r>
                        <w:hyperlink r:id="rId13" w:history="1">
                          <w:r w:rsidRPr="00E53CF3">
                            <w:rPr>
                              <w:rStyle w:val="Hyperlink"/>
                              <w:rFonts w:ascii="Arial" w:hAnsi="Arial" w:cs="Arial"/>
                              <w:sz w:val="18"/>
                              <w:szCs w:val="18"/>
                              <w:lang w:val="en-US"/>
                            </w:rPr>
                            <w:t>here</w:t>
                          </w:r>
                        </w:hyperlink>
                        <w:r>
                          <w:rPr>
                            <w:rFonts w:ascii="Arial" w:hAnsi="Arial" w:cs="Arial"/>
                            <w:color w:val="000000"/>
                            <w:sz w:val="18"/>
                            <w:szCs w:val="18"/>
                            <w:lang w:val="en-US"/>
                          </w:rPr>
                          <w:t>.</w:t>
                        </w:r>
                      </w:p>
                      <w:p w:rsidR="00767C27" w:rsidRDefault="00E53CF3" w:rsidP="003651DD">
                        <w:pPr>
                          <w:pStyle w:val="Heading2"/>
                          <w:rPr>
                            <w:rFonts w:eastAsia="Times New Roman"/>
                            <w:lang w:val="en-US"/>
                          </w:rPr>
                        </w:pPr>
                        <w:r w:rsidRPr="00B053FC">
                          <w:rPr>
                            <w:noProof/>
                          </w:rPr>
                          <w:drawing>
                            <wp:inline distT="0" distB="0" distL="0" distR="0" wp14:anchorId="622D13C5" wp14:editId="765C564A">
                              <wp:extent cx="4857750" cy="409575"/>
                              <wp:effectExtent l="0" t="0" r="0" b="9525"/>
                              <wp:docPr id="9" name="Picture 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53236B" w:rsidRPr="00433D75" w:rsidRDefault="00C05BAA" w:rsidP="00E024CB">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33D75">
                          <w:rPr>
                            <w:rFonts w:ascii="Arial" w:eastAsia="Times New Roman" w:hAnsi="Arial" w:cs="Arial"/>
                            <w:color w:val="000000"/>
                            <w:sz w:val="18"/>
                            <w:szCs w:val="18"/>
                            <w:lang w:val="en-US"/>
                          </w:rPr>
                          <w:t xml:space="preserve">23 November: Inauguration Frank van Oort, </w:t>
                        </w:r>
                        <w:r w:rsidR="0053236B" w:rsidRPr="00433D75">
                          <w:rPr>
                            <w:rFonts w:ascii="Arial" w:eastAsia="Times New Roman" w:hAnsi="Arial" w:cs="Arial"/>
                            <w:color w:val="000000"/>
                            <w:sz w:val="18"/>
                            <w:szCs w:val="18"/>
                            <w:lang w:val="en-US"/>
                          </w:rPr>
                          <w:t xml:space="preserve">Aula, </w:t>
                        </w:r>
                        <w:r w:rsidRPr="00433D75">
                          <w:rPr>
                            <w:rFonts w:ascii="Arial" w:eastAsia="Times New Roman" w:hAnsi="Arial" w:cs="Arial"/>
                            <w:color w:val="000000"/>
                            <w:sz w:val="18"/>
                            <w:szCs w:val="18"/>
                            <w:lang w:val="en-US"/>
                          </w:rPr>
                          <w:t xml:space="preserve">16.00 – 17.00 </w:t>
                        </w:r>
                      </w:p>
                      <w:p w:rsidR="003651DD" w:rsidRPr="00433D75" w:rsidRDefault="003651DD" w:rsidP="00E024CB">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53236B">
                          <w:rPr>
                            <w:rFonts w:ascii="Arial" w:eastAsia="Times New Roman" w:hAnsi="Arial" w:cs="Arial"/>
                            <w:color w:val="000000"/>
                            <w:sz w:val="18"/>
                            <w:szCs w:val="18"/>
                            <w:lang w:val="en-US"/>
                          </w:rPr>
                          <w:t>18 December: Collection of your Christmas gift, C-hall, 12.00 – 14.00</w:t>
                        </w:r>
                      </w:p>
                      <w:p w:rsidR="003651DD" w:rsidRPr="00433D75" w:rsidRDefault="003651DD" w:rsidP="003651DD">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33D75">
                          <w:rPr>
                            <w:rFonts w:ascii="Arial" w:eastAsia="Times New Roman" w:hAnsi="Arial" w:cs="Arial"/>
                            <w:color w:val="000000"/>
                            <w:sz w:val="18"/>
                            <w:szCs w:val="18"/>
                            <w:lang w:val="en-US"/>
                          </w:rPr>
                          <w:t>18 December: ESE Christmas drinks, E-building, 16.00 – 18.00</w:t>
                        </w:r>
                      </w:p>
                      <w:p w:rsidR="009832CB" w:rsidRPr="00433D75" w:rsidRDefault="009832CB" w:rsidP="003651DD">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33D75">
                          <w:rPr>
                            <w:rFonts w:ascii="Arial" w:eastAsia="Times New Roman" w:hAnsi="Arial" w:cs="Arial"/>
                            <w:color w:val="000000"/>
                            <w:sz w:val="18"/>
                            <w:szCs w:val="18"/>
                            <w:lang w:val="en-US"/>
                          </w:rPr>
                          <w:t>20 December: P</w:t>
                        </w:r>
                        <w:r w:rsidR="00433D75" w:rsidRPr="00433D75">
                          <w:rPr>
                            <w:rFonts w:ascii="Arial" w:eastAsia="Times New Roman" w:hAnsi="Arial" w:cs="Arial"/>
                            <w:color w:val="000000"/>
                            <w:sz w:val="18"/>
                            <w:szCs w:val="18"/>
                            <w:lang w:val="en-US"/>
                          </w:rPr>
                          <w:t>hD-defence</w:t>
                        </w:r>
                        <w:r w:rsidRPr="00433D75">
                          <w:rPr>
                            <w:rFonts w:ascii="Arial" w:eastAsia="Times New Roman" w:hAnsi="Arial" w:cs="Arial"/>
                            <w:color w:val="000000"/>
                            <w:sz w:val="18"/>
                            <w:szCs w:val="18"/>
                            <w:lang w:val="en-US"/>
                          </w:rPr>
                          <w:t xml:space="preserve"> Indy Bernoster, Senaatzaal, 13.30 – 15.00</w:t>
                        </w:r>
                      </w:p>
                      <w:p w:rsidR="00382A14" w:rsidRPr="00433D75" w:rsidRDefault="00382A14" w:rsidP="003651DD">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33D75">
                          <w:rPr>
                            <w:rFonts w:ascii="Arial" w:eastAsia="Times New Roman" w:hAnsi="Arial" w:cs="Arial"/>
                            <w:color w:val="000000"/>
                            <w:sz w:val="18"/>
                            <w:szCs w:val="18"/>
                            <w:lang w:val="en-US"/>
                          </w:rPr>
                          <w:t xml:space="preserve">10 January: New Year drinks, </w:t>
                        </w:r>
                        <w:proofErr w:type="spellStart"/>
                        <w:r w:rsidRPr="00433D75">
                          <w:rPr>
                            <w:rFonts w:ascii="Arial" w:eastAsia="Times New Roman" w:hAnsi="Arial" w:cs="Arial"/>
                            <w:color w:val="000000"/>
                            <w:sz w:val="18"/>
                            <w:szCs w:val="18"/>
                            <w:lang w:val="en-US"/>
                          </w:rPr>
                          <w:t>Proeflokaal</w:t>
                        </w:r>
                        <w:proofErr w:type="spellEnd"/>
                        <w:r w:rsidRPr="00433D75">
                          <w:rPr>
                            <w:rFonts w:ascii="Arial" w:eastAsia="Times New Roman" w:hAnsi="Arial" w:cs="Arial"/>
                            <w:color w:val="000000"/>
                            <w:sz w:val="18"/>
                            <w:szCs w:val="18"/>
                            <w:lang w:val="en-US"/>
                          </w:rPr>
                          <w:t xml:space="preserve"> </w:t>
                        </w:r>
                        <w:proofErr w:type="spellStart"/>
                        <w:r w:rsidRPr="00433D75">
                          <w:rPr>
                            <w:rFonts w:ascii="Arial" w:eastAsia="Times New Roman" w:hAnsi="Arial" w:cs="Arial"/>
                            <w:color w:val="000000"/>
                            <w:sz w:val="18"/>
                            <w:szCs w:val="18"/>
                            <w:lang w:val="en-US"/>
                          </w:rPr>
                          <w:t>Lokanta</w:t>
                        </w:r>
                        <w:proofErr w:type="spellEnd"/>
                        <w:r w:rsidRPr="00433D75">
                          <w:rPr>
                            <w:rFonts w:ascii="Arial" w:eastAsia="Times New Roman" w:hAnsi="Arial" w:cs="Arial"/>
                            <w:color w:val="000000"/>
                            <w:sz w:val="18"/>
                            <w:szCs w:val="18"/>
                            <w:lang w:val="en-US"/>
                          </w:rPr>
                          <w:t>, 16</w:t>
                        </w:r>
                        <w:bookmarkStart w:id="0" w:name="_GoBack"/>
                        <w:bookmarkEnd w:id="0"/>
                        <w:r w:rsidRPr="00433D75">
                          <w:rPr>
                            <w:rFonts w:ascii="Arial" w:eastAsia="Times New Roman" w:hAnsi="Arial" w:cs="Arial"/>
                            <w:color w:val="000000"/>
                            <w:sz w:val="18"/>
                            <w:szCs w:val="18"/>
                            <w:lang w:val="en-US"/>
                          </w:rPr>
                          <w:t>.00 – 19.00</w:t>
                        </w:r>
                      </w:p>
                      <w:p w:rsidR="0053236B" w:rsidRPr="00433D75" w:rsidRDefault="0053236B" w:rsidP="0053236B">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33D75">
                          <w:rPr>
                            <w:rFonts w:ascii="Arial" w:eastAsia="Times New Roman" w:hAnsi="Arial" w:cs="Arial"/>
                            <w:color w:val="000000"/>
                            <w:sz w:val="18"/>
                            <w:szCs w:val="18"/>
                            <w:lang w:val="en-US"/>
                          </w:rPr>
                          <w:t>05 February: Research Afternoon, Novotel, 13.30 – 18.00</w:t>
                        </w:r>
                      </w:p>
                      <w:p w:rsidR="0096227F" w:rsidRDefault="0096227F" w:rsidP="0096227F">
                        <w:pPr>
                          <w:pStyle w:val="Heading2"/>
                          <w:spacing w:line="360" w:lineRule="auto"/>
                          <w:rPr>
                            <w:rFonts w:eastAsia="Times New Roman"/>
                            <w:lang w:val="en-US"/>
                          </w:rPr>
                        </w:pPr>
                        <w:r w:rsidRPr="00B053FC">
                          <w:rPr>
                            <w:noProof/>
                            <w:sz w:val="18"/>
                            <w:szCs w:val="18"/>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452A37" w:rsidP="0096227F">
                        <w:pPr>
                          <w:pStyle w:val="Heading2"/>
                          <w:spacing w:line="360" w:lineRule="auto"/>
                          <w:rPr>
                            <w:rFonts w:eastAsia="Times New Roman"/>
                            <w:lang w:val="en-US"/>
                          </w:rPr>
                        </w:pPr>
                        <w:r>
                          <w:rPr>
                            <w:rFonts w:eastAsia="Times New Roman"/>
                            <w:lang w:val="en-US"/>
                          </w:rPr>
                          <w:t>Upcoming holidays 2018</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E40887"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Tuesday</w:t>
                        </w:r>
                        <w:proofErr w:type="spellEnd"/>
                        <w:r w:rsidRPr="00B053FC">
                          <w:rPr>
                            <w:rFonts w:ascii="Arial" w:eastAsia="Times New Roman" w:hAnsi="Arial" w:cs="Arial"/>
                            <w:color w:val="000000"/>
                            <w:sz w:val="18"/>
                            <w:szCs w:val="18"/>
                          </w:rPr>
                          <w:t xml:space="preserve"> 25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w:t>
                        </w:r>
                      </w:p>
                      <w:p w:rsidR="00E40887" w:rsidRDefault="00E40887"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sidRPr="00B053FC">
                          <w:rPr>
                            <w:rFonts w:ascii="Arial" w:eastAsia="Times New Roman" w:hAnsi="Arial" w:cs="Arial"/>
                            <w:color w:val="000000"/>
                            <w:sz w:val="18"/>
                            <w:szCs w:val="18"/>
                          </w:rPr>
                          <w:t>Wednesday</w:t>
                        </w:r>
                        <w:proofErr w:type="spellEnd"/>
                        <w:r w:rsidRPr="00B053FC">
                          <w:rPr>
                            <w:rFonts w:ascii="Arial" w:eastAsia="Times New Roman" w:hAnsi="Arial" w:cs="Arial"/>
                            <w:color w:val="000000"/>
                            <w:sz w:val="18"/>
                            <w:szCs w:val="18"/>
                          </w:rPr>
                          <w:t xml:space="preserve"> 26 </w:t>
                        </w:r>
                        <w:proofErr w:type="gramStart"/>
                        <w:r w:rsidRPr="00B053FC">
                          <w:rPr>
                            <w:rFonts w:ascii="Arial" w:eastAsia="Times New Roman" w:hAnsi="Arial" w:cs="Arial"/>
                            <w:color w:val="000000"/>
                            <w:sz w:val="18"/>
                            <w:szCs w:val="18"/>
                          </w:rPr>
                          <w:t>December</w:t>
                        </w:r>
                        <w:proofErr w:type="gramEnd"/>
                        <w:r w:rsidRPr="00B053FC">
                          <w:rPr>
                            <w:rFonts w:ascii="Arial" w:eastAsia="Times New Roman" w:hAnsi="Arial" w:cs="Arial"/>
                            <w:color w:val="000000"/>
                            <w:sz w:val="18"/>
                            <w:szCs w:val="18"/>
                          </w:rPr>
                          <w:t xml:space="preserve"> - Christmas </w:t>
                        </w:r>
                        <w:proofErr w:type="spellStart"/>
                        <w:r w:rsidRPr="00B053FC">
                          <w:rPr>
                            <w:rFonts w:ascii="Arial" w:eastAsia="Times New Roman" w:hAnsi="Arial" w:cs="Arial"/>
                            <w:color w:val="000000"/>
                            <w:sz w:val="18"/>
                            <w:szCs w:val="18"/>
                          </w:rPr>
                          <w:t>Boxing</w:t>
                        </w:r>
                        <w:proofErr w:type="spellEnd"/>
                        <w:r w:rsidRPr="00B053FC">
                          <w:rPr>
                            <w:rFonts w:ascii="Arial" w:eastAsia="Times New Roman" w:hAnsi="Arial" w:cs="Arial"/>
                            <w:color w:val="000000"/>
                            <w:sz w:val="18"/>
                            <w:szCs w:val="18"/>
                          </w:rPr>
                          <w:t xml:space="preserve"> Day</w:t>
                        </w:r>
                      </w:p>
                      <w:p w:rsidR="0096227F" w:rsidRDefault="0096227F" w:rsidP="003651DD">
                        <w:pPr>
                          <w:numPr>
                            <w:ilvl w:val="0"/>
                            <w:numId w:val="10"/>
                          </w:numPr>
                          <w:spacing w:before="100" w:beforeAutospacing="1" w:after="100" w:afterAutospacing="1" w:line="360" w:lineRule="auto"/>
                          <w:rPr>
                            <w:rFonts w:ascii="Arial" w:eastAsia="Times New Roman" w:hAnsi="Arial" w:cs="Arial"/>
                            <w:color w:val="000000"/>
                            <w:sz w:val="18"/>
                            <w:szCs w:val="18"/>
                          </w:rPr>
                        </w:pPr>
                        <w:proofErr w:type="spellStart"/>
                        <w:r>
                          <w:rPr>
                            <w:rFonts w:ascii="Arial" w:eastAsia="Times New Roman" w:hAnsi="Arial" w:cs="Arial"/>
                            <w:color w:val="000000"/>
                            <w:sz w:val="18"/>
                            <w:szCs w:val="18"/>
                          </w:rPr>
                          <w:t>Tuesday</w:t>
                        </w:r>
                        <w:proofErr w:type="spellEnd"/>
                        <w:r>
                          <w:rPr>
                            <w:rFonts w:ascii="Arial" w:eastAsia="Times New Roman" w:hAnsi="Arial" w:cs="Arial"/>
                            <w:color w:val="000000"/>
                            <w:sz w:val="18"/>
                            <w:szCs w:val="18"/>
                          </w:rPr>
                          <w:t xml:space="preserve"> 1 </w:t>
                        </w:r>
                        <w:proofErr w:type="spellStart"/>
                        <w:r>
                          <w:rPr>
                            <w:rFonts w:ascii="Arial" w:eastAsia="Times New Roman" w:hAnsi="Arial" w:cs="Arial"/>
                            <w:color w:val="000000"/>
                            <w:sz w:val="18"/>
                            <w:szCs w:val="18"/>
                          </w:rPr>
                          <w:t>January</w:t>
                        </w:r>
                        <w:proofErr w:type="spellEnd"/>
                        <w:r>
                          <w:rPr>
                            <w:rFonts w:ascii="Arial" w:eastAsia="Times New Roman" w:hAnsi="Arial" w:cs="Arial"/>
                            <w:color w:val="000000"/>
                            <w:sz w:val="18"/>
                            <w:szCs w:val="18"/>
                          </w:rPr>
                          <w:t xml:space="preserve"> 2019 – New </w:t>
                        </w:r>
                        <w:proofErr w:type="spellStart"/>
                        <w:r>
                          <w:rPr>
                            <w:rFonts w:ascii="Arial" w:eastAsia="Times New Roman" w:hAnsi="Arial" w:cs="Arial"/>
                            <w:color w:val="000000"/>
                            <w:sz w:val="18"/>
                            <w:szCs w:val="18"/>
                          </w:rPr>
                          <w:t>Year’s</w:t>
                        </w:r>
                        <w:proofErr w:type="spellEnd"/>
                        <w:r>
                          <w:rPr>
                            <w:rFonts w:ascii="Arial" w:eastAsia="Times New Roman" w:hAnsi="Arial" w:cs="Arial"/>
                            <w:color w:val="000000"/>
                            <w:sz w:val="18"/>
                            <w:szCs w:val="18"/>
                          </w:rPr>
                          <w:t xml:space="preserve">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Pr>
                            <w:rFonts w:ascii="Arial" w:hAnsi="Arial" w:cs="Arial"/>
                            <w:sz w:val="18"/>
                            <w:szCs w:val="18"/>
                            <w:lang w:val="en-US"/>
                          </w:rPr>
                          <w:t>24 December until 31</w:t>
                        </w:r>
                        <w:r w:rsidRPr="006074B0">
                          <w:rPr>
                            <w:rFonts w:ascii="Arial" w:hAnsi="Arial" w:cs="Arial"/>
                            <w:sz w:val="18"/>
                            <w:szCs w:val="18"/>
                            <w:lang w:val="en-US"/>
                          </w:rPr>
                          <w:t xml:space="preserve"> December</w:t>
                        </w:r>
                        <w:r w:rsidR="00926563">
                          <w:rPr>
                            <w:rFonts w:ascii="Arial" w:hAnsi="Arial" w:cs="Arial"/>
                            <w:sz w:val="18"/>
                            <w:szCs w:val="18"/>
                            <w:lang w:val="en-US"/>
                          </w:rPr>
                          <w:t>.</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0" w:type="auto"/>
                          <w:tblCellMar>
                            <w:left w:w="0" w:type="dxa"/>
                            <w:right w:w="0" w:type="dxa"/>
                          </w:tblCellMar>
                          <w:tblLook w:val="04A0" w:firstRow="1" w:lastRow="0" w:firstColumn="1" w:lastColumn="0" w:noHBand="0" w:noVBand="1"/>
                        </w:tblPr>
                        <w:tblGrid>
                          <w:gridCol w:w="2931"/>
                          <w:gridCol w:w="236"/>
                          <w:gridCol w:w="3386"/>
                        </w:tblGrid>
                        <w:tr w:rsidR="003C21B7" w:rsidRPr="003C21B7" w:rsidTr="002B23E6">
                          <w:tc>
                            <w:tcPr>
                              <w:tcW w:w="2931" w:type="dxa"/>
                              <w:tcMar>
                                <w:top w:w="0" w:type="dxa"/>
                                <w:left w:w="108" w:type="dxa"/>
                                <w:bottom w:w="0" w:type="dxa"/>
                                <w:right w:w="108" w:type="dxa"/>
                              </w:tcMar>
                            </w:tcPr>
                            <w:p w:rsidR="00F93304" w:rsidRPr="00F93304" w:rsidRDefault="00F93304" w:rsidP="0096227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F93304" w:rsidRPr="00B053FC" w:rsidRDefault="00F93304" w:rsidP="0096227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F93304" w:rsidRPr="00272353" w:rsidRDefault="00F93304" w:rsidP="0000722A">
                              <w:pPr>
                                <w:spacing w:line="360" w:lineRule="auto"/>
                                <w:rPr>
                                  <w:rFonts w:ascii="Arial" w:hAnsi="Arial" w:cs="Arial"/>
                                  <w:b/>
                                  <w:color w:val="000000"/>
                                  <w:sz w:val="18"/>
                                  <w:szCs w:val="18"/>
                                  <w:lang w:val="en-US"/>
                                </w:rPr>
                              </w:pPr>
                            </w:p>
                          </w:tc>
                        </w:tr>
                        <w:tr w:rsidR="009E1DCF" w:rsidRPr="00433D75" w:rsidTr="002B23E6">
                          <w:tc>
                            <w:tcPr>
                              <w:tcW w:w="2931" w:type="dxa"/>
                              <w:tcMar>
                                <w:top w:w="0" w:type="dxa"/>
                                <w:left w:w="108" w:type="dxa"/>
                                <w:bottom w:w="0" w:type="dxa"/>
                                <w:right w:w="108" w:type="dxa"/>
                              </w:tcMar>
                            </w:tcPr>
                            <w:p w:rsidR="009E1DCF" w:rsidRPr="00F93304" w:rsidRDefault="009E1DCF" w:rsidP="009E1DCF">
                              <w:pPr>
                                <w:spacing w:line="360" w:lineRule="auto"/>
                                <w:jc w:val="both"/>
                                <w:rPr>
                                  <w:rFonts w:ascii="Arial" w:hAnsi="Arial" w:cs="Arial"/>
                                  <w:noProof/>
                                  <w:color w:val="000000"/>
                                  <w:sz w:val="18"/>
                                  <w:szCs w:val="18"/>
                                  <w:lang w:val="en-US"/>
                                </w:rPr>
                              </w:pPr>
                            </w:p>
                            <w:p w:rsidR="009E1DCF" w:rsidRPr="00F93304" w:rsidRDefault="009E1DCF" w:rsidP="009E1DCF">
                              <w:pPr>
                                <w:spacing w:line="360" w:lineRule="auto"/>
                                <w:jc w:val="both"/>
                                <w:rPr>
                                  <w:rFonts w:ascii="Arial" w:hAnsi="Arial" w:cs="Arial"/>
                                  <w:noProof/>
                                  <w:color w:val="000000"/>
                                  <w:sz w:val="18"/>
                                  <w:szCs w:val="18"/>
                                  <w:lang w:val="en-US"/>
                                </w:rPr>
                              </w:pPr>
                              <w:r w:rsidRPr="009E1DCF">
                                <w:rPr>
                                  <w:rFonts w:ascii="Arial" w:hAnsi="Arial" w:cs="Arial"/>
                                  <w:noProof/>
                                  <w:color w:val="000000"/>
                                  <w:sz w:val="18"/>
                                  <w:szCs w:val="18"/>
                                </w:rPr>
                                <w:drawing>
                                  <wp:inline distT="0" distB="0" distL="0" distR="0">
                                    <wp:extent cx="1704975" cy="1704975"/>
                                    <wp:effectExtent l="0" t="0" r="9525" b="9525"/>
                                    <wp:docPr id="16" name="Picture 16" descr="\\campus.eur.nl\shared\departments\ESE-TE-OM\HR\Personeel\PhD'ers\Personeelsdossiers\Wismans, Annelot\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us.eur.nl\shared\departments\ESE-TE-OM\HR\Personeel\PhD'ers\Personeelsdossiers\Wismans, Annelot\Fot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Default="009E1DCF" w:rsidP="009E1DCF">
                              <w:pPr>
                                <w:spacing w:line="360" w:lineRule="auto"/>
                                <w:rPr>
                                  <w:rFonts w:ascii="Arial" w:hAnsi="Arial" w:cs="Arial"/>
                                  <w:color w:val="000000"/>
                                  <w:sz w:val="18"/>
                                  <w:szCs w:val="18"/>
                                  <w:lang w:val="en-US"/>
                                </w:rPr>
                              </w:pPr>
                            </w:p>
                            <w:p w:rsidR="009E1DCF" w:rsidRPr="00272353" w:rsidRDefault="009E1DCF" w:rsidP="009E1DCF">
                              <w:pPr>
                                <w:spacing w:line="360" w:lineRule="auto"/>
                                <w:rPr>
                                  <w:rFonts w:ascii="Arial" w:hAnsi="Arial" w:cs="Arial"/>
                                  <w:b/>
                                  <w:color w:val="000000"/>
                                  <w:sz w:val="18"/>
                                  <w:szCs w:val="18"/>
                                  <w:lang w:val="en-US"/>
                                </w:rPr>
                              </w:pPr>
                              <w:r>
                                <w:rPr>
                                  <w:rFonts w:ascii="Arial" w:hAnsi="Arial" w:cs="Arial"/>
                                  <w:color w:val="000000"/>
                                  <w:sz w:val="18"/>
                                  <w:szCs w:val="18"/>
                                  <w:lang w:val="en-US"/>
                                </w:rPr>
                                <w:t>A</w:t>
                              </w:r>
                              <w:r w:rsidRPr="00EC7909">
                                <w:rPr>
                                  <w:rFonts w:ascii="Arial" w:hAnsi="Arial" w:cs="Arial"/>
                                  <w:color w:val="000000"/>
                                  <w:sz w:val="18"/>
                                  <w:szCs w:val="18"/>
                                  <w:lang w:val="en-US"/>
                                </w:rPr>
                                <w:t xml:space="preserve">s of </w:t>
                              </w:r>
                              <w:r>
                                <w:rPr>
                                  <w:rFonts w:ascii="Arial" w:hAnsi="Arial" w:cs="Arial"/>
                                  <w:color w:val="000000"/>
                                  <w:sz w:val="18"/>
                                  <w:szCs w:val="18"/>
                                  <w:lang w:val="en-US"/>
                                </w:rPr>
                                <w:t xml:space="preserve">1 December 2018, we’ll welcome </w:t>
                              </w:r>
                              <w:proofErr w:type="spellStart"/>
                              <w:r>
                                <w:rPr>
                                  <w:rFonts w:ascii="Arial" w:hAnsi="Arial" w:cs="Arial"/>
                                  <w:b/>
                                  <w:color w:val="000000"/>
                                  <w:sz w:val="18"/>
                                  <w:szCs w:val="18"/>
                                  <w:lang w:val="en-US"/>
                                </w:rPr>
                                <w:t>Annelot</w:t>
                              </w:r>
                              <w:proofErr w:type="spellEnd"/>
                              <w:r>
                                <w:rPr>
                                  <w:rFonts w:ascii="Arial" w:hAnsi="Arial" w:cs="Arial"/>
                                  <w:b/>
                                  <w:color w:val="000000"/>
                                  <w:sz w:val="18"/>
                                  <w:szCs w:val="18"/>
                                  <w:lang w:val="en-US"/>
                                </w:rPr>
                                <w:t xml:space="preserve"> </w:t>
                              </w:r>
                              <w:proofErr w:type="spellStart"/>
                              <w:r>
                                <w:rPr>
                                  <w:rFonts w:ascii="Arial" w:hAnsi="Arial" w:cs="Arial"/>
                                  <w:b/>
                                  <w:color w:val="000000"/>
                                  <w:sz w:val="18"/>
                                  <w:szCs w:val="18"/>
                                  <w:lang w:val="en-US"/>
                                </w:rPr>
                                <w:t>Wismans</w:t>
                              </w:r>
                              <w:proofErr w:type="spellEnd"/>
                              <w:r>
                                <w:rPr>
                                  <w:rFonts w:ascii="Arial" w:hAnsi="Arial" w:cs="Arial"/>
                                  <w:color w:val="000000"/>
                                  <w:sz w:val="18"/>
                                  <w:szCs w:val="18"/>
                                  <w:lang w:val="en-US"/>
                                </w:rPr>
                                <w:t xml:space="preserve">. She is a </w:t>
                              </w:r>
                              <w:r w:rsidRPr="002B23E6">
                                <w:rPr>
                                  <w:rFonts w:ascii="Arial" w:hAnsi="Arial" w:cs="Arial"/>
                                  <w:b/>
                                  <w:color w:val="000000"/>
                                  <w:sz w:val="18"/>
                                  <w:szCs w:val="18"/>
                                  <w:lang w:val="en-US"/>
                                </w:rPr>
                                <w:t>PhD student</w:t>
                              </w:r>
                              <w:r>
                                <w:rPr>
                                  <w:rFonts w:ascii="Arial" w:hAnsi="Arial" w:cs="Arial"/>
                                  <w:color w:val="000000"/>
                                  <w:sz w:val="18"/>
                                  <w:szCs w:val="18"/>
                                  <w:lang w:val="en-US"/>
                                </w:rPr>
                                <w:t xml:space="preserve"> for the project “What characterizes the entrepreneur? On the </w:t>
                              </w:r>
                              <w:proofErr w:type="spellStart"/>
                              <w:r>
                                <w:rPr>
                                  <w:rFonts w:ascii="Arial" w:hAnsi="Arial" w:cs="Arial"/>
                                  <w:color w:val="000000"/>
                                  <w:sz w:val="18"/>
                                  <w:szCs w:val="18"/>
                                  <w:lang w:val="en-US"/>
                                </w:rPr>
                                <w:t>neurocognition</w:t>
                              </w:r>
                              <w:proofErr w:type="spellEnd"/>
                              <w:r>
                                <w:rPr>
                                  <w:rFonts w:ascii="Arial" w:hAnsi="Arial" w:cs="Arial"/>
                                  <w:color w:val="000000"/>
                                  <w:sz w:val="18"/>
                                  <w:szCs w:val="18"/>
                                  <w:lang w:val="en-US"/>
                                </w:rPr>
                                <w:t xml:space="preserve"> of economic behavior”. </w:t>
                              </w:r>
                              <w:r>
                                <w:rPr>
                                  <w:rFonts w:ascii="Arial" w:hAnsi="Arial" w:cs="Arial"/>
                                  <w:color w:val="000000"/>
                                  <w:sz w:val="18"/>
                                  <w:szCs w:val="18"/>
                                  <w:lang w:val="en-US"/>
                                </w:rPr>
                                <w:br/>
                                <w:t>Her promotors are Roy Thurik and Ingmar Franken.</w:t>
                              </w:r>
                            </w:p>
                          </w:tc>
                        </w:tr>
                        <w:tr w:rsidR="009E1DCF" w:rsidRPr="00433D75" w:rsidTr="002B23E6">
                          <w:tc>
                            <w:tcPr>
                              <w:tcW w:w="2931" w:type="dxa"/>
                              <w:tcMar>
                                <w:top w:w="0" w:type="dxa"/>
                                <w:left w:w="108" w:type="dxa"/>
                                <w:bottom w:w="0" w:type="dxa"/>
                                <w:right w:w="108" w:type="dxa"/>
                              </w:tcMar>
                            </w:tcPr>
                            <w:p w:rsidR="009E1DCF" w:rsidRPr="00272353" w:rsidRDefault="009E1DCF" w:rsidP="009E1DC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Default="009E1DCF" w:rsidP="009E1DCF">
                              <w:pPr>
                                <w:spacing w:line="360" w:lineRule="auto"/>
                                <w:rPr>
                                  <w:rFonts w:ascii="Arial" w:hAnsi="Arial" w:cs="Arial"/>
                                  <w:color w:val="000000"/>
                                  <w:sz w:val="18"/>
                                  <w:szCs w:val="18"/>
                                  <w:lang w:val="en-US"/>
                                </w:rPr>
                              </w:pPr>
                            </w:p>
                          </w:tc>
                        </w:tr>
                        <w:tr w:rsidR="009E1DCF" w:rsidRPr="00433D75" w:rsidTr="002B23E6">
                          <w:tc>
                            <w:tcPr>
                              <w:tcW w:w="2931" w:type="dxa"/>
                              <w:tcMar>
                                <w:top w:w="0" w:type="dxa"/>
                                <w:left w:w="108" w:type="dxa"/>
                                <w:bottom w:w="0" w:type="dxa"/>
                                <w:right w:w="108" w:type="dxa"/>
                              </w:tcMar>
                            </w:tcPr>
                            <w:p w:rsidR="009E1DCF" w:rsidRPr="00272353" w:rsidRDefault="009E1DCF" w:rsidP="009E1DCF">
                              <w:pPr>
                                <w:spacing w:line="360" w:lineRule="auto"/>
                                <w:jc w:val="both"/>
                                <w:rPr>
                                  <w:rFonts w:ascii="Arial" w:hAnsi="Arial" w:cs="Arial"/>
                                  <w:noProof/>
                                  <w:color w:val="000000"/>
                                  <w:sz w:val="18"/>
                                  <w:szCs w:val="18"/>
                                  <w:lang w:val="en-US"/>
                                </w:rPr>
                              </w:pPr>
                            </w:p>
                          </w:tc>
                          <w:tc>
                            <w:tcPr>
                              <w:tcW w:w="236" w:type="dxa"/>
                              <w:tcMar>
                                <w:top w:w="0" w:type="dxa"/>
                                <w:left w:w="108" w:type="dxa"/>
                                <w:bottom w:w="0" w:type="dxa"/>
                                <w:right w:w="108" w:type="dxa"/>
                              </w:tcMar>
                            </w:tcPr>
                            <w:p w:rsidR="009E1DCF" w:rsidRPr="00B053FC" w:rsidRDefault="009E1DCF" w:rsidP="009E1DCF">
                              <w:pPr>
                                <w:spacing w:line="360" w:lineRule="auto"/>
                                <w:rPr>
                                  <w:rFonts w:ascii="Arial" w:hAnsi="Arial" w:cs="Arial"/>
                                  <w:color w:val="000000"/>
                                  <w:sz w:val="18"/>
                                  <w:szCs w:val="18"/>
                                  <w:lang w:val="en-US"/>
                                </w:rPr>
                              </w:pPr>
                            </w:p>
                          </w:tc>
                          <w:tc>
                            <w:tcPr>
                              <w:tcW w:w="3386" w:type="dxa"/>
                              <w:tcMar>
                                <w:top w:w="0" w:type="dxa"/>
                                <w:left w:w="108" w:type="dxa"/>
                                <w:bottom w:w="0" w:type="dxa"/>
                                <w:right w:w="108" w:type="dxa"/>
                              </w:tcMar>
                            </w:tcPr>
                            <w:p w:rsidR="009E1DCF" w:rsidRPr="00EC7909" w:rsidRDefault="009E1DCF" w:rsidP="009E1DCF">
                              <w:pPr>
                                <w:spacing w:line="360" w:lineRule="auto"/>
                                <w:rPr>
                                  <w:rFonts w:ascii="Arial" w:hAnsi="Arial" w:cs="Arial"/>
                                  <w:color w:val="000000"/>
                                  <w:sz w:val="18"/>
                                  <w:szCs w:val="18"/>
                                  <w:lang w:val="en-US"/>
                                </w:rPr>
                              </w:pPr>
                            </w:p>
                          </w:tc>
                        </w:tr>
                      </w:tbl>
                      <w:p w:rsidR="00DE7A02"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211C50" w:rsidRPr="00B053FC" w:rsidRDefault="00211C50" w:rsidP="0096227F">
                        <w:pPr>
                          <w:spacing w:line="360" w:lineRule="auto"/>
                          <w:rPr>
                            <w:rFonts w:ascii="Arial" w:hAnsi="Arial" w:cs="Arial"/>
                            <w:color w:val="000000"/>
                            <w:sz w:val="18"/>
                            <w:szCs w:val="18"/>
                            <w:lang w:val="en-US"/>
                          </w:rPr>
                        </w:pPr>
                      </w:p>
                    </w:tc>
                  </w:tr>
                  <w:tr w:rsidR="00211C50" w:rsidRPr="009E1DCF">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211C50" w:rsidRDefault="00211C50" w:rsidP="0096227F">
                  <w:pPr>
                    <w:spacing w:line="360" w:lineRule="auto"/>
                    <w:rPr>
                      <w:rFonts w:eastAsia="Times New Roman"/>
                      <w:sz w:val="20"/>
                      <w:szCs w:val="20"/>
                      <w:lang w:val="en-US"/>
                    </w:rPr>
                  </w:pPr>
                </w:p>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9E1DCF">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9E1DCF">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7" name="Picture 7" descr="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6" name="Picture 6" descr="linkedin">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5" name="Picture 5" descr="youtub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4" name="Picture 4"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3" name="Picture 3" descr="instagram">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rPr>
                          <w:drawing>
                            <wp:inline distT="0" distB="0" distL="0" distR="0">
                              <wp:extent cx="238125" cy="238125"/>
                              <wp:effectExtent l="0" t="0" r="9525" b="9525"/>
                              <wp:docPr id="2" name="Picture 2" descr="snapchat">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28"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9"/>
  </w:num>
  <w:num w:numId="5">
    <w:abstractNumId w:val="10"/>
  </w:num>
  <w:num w:numId="6">
    <w:abstractNumId w:val="2"/>
  </w:num>
  <w:num w:numId="7">
    <w:abstractNumId w:val="9"/>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722A"/>
    <w:rsid w:val="0001053B"/>
    <w:rsid w:val="000424A2"/>
    <w:rsid w:val="00042721"/>
    <w:rsid w:val="0005310E"/>
    <w:rsid w:val="000A1520"/>
    <w:rsid w:val="000B04B0"/>
    <w:rsid w:val="00104B98"/>
    <w:rsid w:val="001120AB"/>
    <w:rsid w:val="00113DEF"/>
    <w:rsid w:val="001507C3"/>
    <w:rsid w:val="00153521"/>
    <w:rsid w:val="00211331"/>
    <w:rsid w:val="00211C50"/>
    <w:rsid w:val="00272353"/>
    <w:rsid w:val="00274E02"/>
    <w:rsid w:val="0029321C"/>
    <w:rsid w:val="002B23E6"/>
    <w:rsid w:val="00306592"/>
    <w:rsid w:val="00351AD0"/>
    <w:rsid w:val="00360F2A"/>
    <w:rsid w:val="003651DD"/>
    <w:rsid w:val="00382A14"/>
    <w:rsid w:val="00385517"/>
    <w:rsid w:val="00387E37"/>
    <w:rsid w:val="00390E01"/>
    <w:rsid w:val="003B4AE9"/>
    <w:rsid w:val="003C21B7"/>
    <w:rsid w:val="003C3ABF"/>
    <w:rsid w:val="003C6F77"/>
    <w:rsid w:val="00415049"/>
    <w:rsid w:val="00433305"/>
    <w:rsid w:val="00433D75"/>
    <w:rsid w:val="00452A37"/>
    <w:rsid w:val="004F3266"/>
    <w:rsid w:val="0053236B"/>
    <w:rsid w:val="00552B20"/>
    <w:rsid w:val="00560B35"/>
    <w:rsid w:val="005E5E48"/>
    <w:rsid w:val="005F6FB9"/>
    <w:rsid w:val="005F7606"/>
    <w:rsid w:val="006C6344"/>
    <w:rsid w:val="006E1BB8"/>
    <w:rsid w:val="006F0ECE"/>
    <w:rsid w:val="0073161A"/>
    <w:rsid w:val="00767C27"/>
    <w:rsid w:val="007900CB"/>
    <w:rsid w:val="007B4879"/>
    <w:rsid w:val="008438FF"/>
    <w:rsid w:val="00850D3F"/>
    <w:rsid w:val="008727CC"/>
    <w:rsid w:val="00903E19"/>
    <w:rsid w:val="009135DD"/>
    <w:rsid w:val="00926563"/>
    <w:rsid w:val="00951F2F"/>
    <w:rsid w:val="009532D9"/>
    <w:rsid w:val="0096227F"/>
    <w:rsid w:val="00967A21"/>
    <w:rsid w:val="0098205F"/>
    <w:rsid w:val="009832CB"/>
    <w:rsid w:val="00985570"/>
    <w:rsid w:val="00987A57"/>
    <w:rsid w:val="009B1C34"/>
    <w:rsid w:val="009D301C"/>
    <w:rsid w:val="009E1DCF"/>
    <w:rsid w:val="009F6EA7"/>
    <w:rsid w:val="009F7099"/>
    <w:rsid w:val="00A52850"/>
    <w:rsid w:val="00A55F1D"/>
    <w:rsid w:val="00A60ED0"/>
    <w:rsid w:val="00A82934"/>
    <w:rsid w:val="00AB4132"/>
    <w:rsid w:val="00AF7D34"/>
    <w:rsid w:val="00B009F0"/>
    <w:rsid w:val="00B053FC"/>
    <w:rsid w:val="00B062EF"/>
    <w:rsid w:val="00BC08C1"/>
    <w:rsid w:val="00C05BAA"/>
    <w:rsid w:val="00C37657"/>
    <w:rsid w:val="00C7674E"/>
    <w:rsid w:val="00C87E4B"/>
    <w:rsid w:val="00CB2E93"/>
    <w:rsid w:val="00CF4B75"/>
    <w:rsid w:val="00D16565"/>
    <w:rsid w:val="00D824A4"/>
    <w:rsid w:val="00DB4B6D"/>
    <w:rsid w:val="00DD4035"/>
    <w:rsid w:val="00DE7A02"/>
    <w:rsid w:val="00DF65A9"/>
    <w:rsid w:val="00E30440"/>
    <w:rsid w:val="00E329BC"/>
    <w:rsid w:val="00E40887"/>
    <w:rsid w:val="00E53CF3"/>
    <w:rsid w:val="00E729C5"/>
    <w:rsid w:val="00EC1650"/>
    <w:rsid w:val="00F2250E"/>
    <w:rsid w:val="00F3172F"/>
    <w:rsid w:val="00F36565"/>
    <w:rsid w:val="00F706BF"/>
    <w:rsid w:val="00F93304"/>
    <w:rsid w:val="00FA443B"/>
    <w:rsid w:val="00FB0DA8"/>
    <w:rsid w:val="00FC1471"/>
    <w:rsid w:val="00FD72D5"/>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mpus.eur.nl\shared\departments\ESE-TE-OM\Communicatie\UpdaTE\Publications\interviews%20of%20our%20colleagues" TargetMode="External"/><Relationship Id="rId13" Type="http://schemas.openxmlformats.org/officeDocument/2006/relationships/hyperlink" Target="https://my.eur.nl/en/ese-employee/research/prep-money-researchhttps:/my.eur.nl/en/ese-employee/research/prep-money-research" TargetMode="External"/><Relationship Id="rId18" Type="http://schemas.openxmlformats.org/officeDocument/2006/relationships/hyperlink" Target="https://www.linkedin.com/company/erasmus-school-of-economics" TargetMode="External"/><Relationship Id="rId26" Type="http://schemas.openxmlformats.org/officeDocument/2006/relationships/hyperlink" Target="https://www.snapchat.com/add/erasmus_ese" TargetMode="External"/><Relationship Id="rId3" Type="http://schemas.openxmlformats.org/officeDocument/2006/relationships/settings" Target="settings.xml"/><Relationship Id="rId21" Type="http://schemas.openxmlformats.org/officeDocument/2006/relationships/image" Target="media/image9.gif"/><Relationship Id="rId7" Type="http://schemas.openxmlformats.org/officeDocument/2006/relationships/image" Target="media/image2.gif"/><Relationship Id="rId12" Type="http://schemas.openxmlformats.org/officeDocument/2006/relationships/hyperlink" Target="https://www.eur.nl/en/ese/working/phd-vacancies?utm_source=staff&amp;utm_medium=email&amp;utm_campaign=181106_phd_vacancies" TargetMode="External"/><Relationship Id="rId17" Type="http://schemas.openxmlformats.org/officeDocument/2006/relationships/image" Target="media/image7.gif"/><Relationship Id="rId25"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hyperlink" Target="https://www.facebook.com/Erasmusschoolofeconomics" TargetMode="External"/><Relationship Id="rId20" Type="http://schemas.openxmlformats.org/officeDocument/2006/relationships/hyperlink" Target="https://www.youtube.com/user/ese1913"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image" Target="media/image4.jpeg"/><Relationship Id="rId24" Type="http://schemas.openxmlformats.org/officeDocument/2006/relationships/hyperlink" Target="https://www.instagram.com/erasmusese/" TargetMode="External"/><Relationship Id="rId5" Type="http://schemas.openxmlformats.org/officeDocument/2006/relationships/image" Target="media/image1.jpeg"/><Relationship Id="rId15" Type="http://schemas.openxmlformats.org/officeDocument/2006/relationships/image" Target="media/image6.gif"/><Relationship Id="rId23" Type="http://schemas.openxmlformats.org/officeDocument/2006/relationships/image" Target="media/image10.gif"/><Relationship Id="rId28" Type="http://schemas.openxmlformats.org/officeDocument/2006/relationships/hyperlink" Target="http://www.eur.nl/english/disclaimer/" TargetMode="External"/><Relationship Id="rId10" Type="http://schemas.openxmlformats.org/officeDocument/2006/relationships/hyperlink" Target="https://www.eur.nl/en/ese/news/inaugural-lecture-frank-van-oort-endowed-professor-urban-and-regional-economics?utm_source=staff&amp;utm_medium=email&amp;utm_campaign=181106_van_oort" TargetMode="External"/><Relationship Id="rId19" Type="http://schemas.openxmlformats.org/officeDocument/2006/relationships/image" Target="media/image8.gi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twitter.com/erasmusese" TargetMode="External"/><Relationship Id="rId27" Type="http://schemas.openxmlformats.org/officeDocument/2006/relationships/image" Target="media/image12.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cp:lastModifiedBy>
  <cp:revision>5</cp:revision>
  <dcterms:created xsi:type="dcterms:W3CDTF">2018-11-20T12:06:00Z</dcterms:created>
  <dcterms:modified xsi:type="dcterms:W3CDTF">2018-11-26T14:54:00Z</dcterms:modified>
</cp:coreProperties>
</file>